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08"/>
        <w:gridCol w:w="2495"/>
        <w:gridCol w:w="2352"/>
        <w:gridCol w:w="2324"/>
        <w:tblGridChange w:id="0">
          <w:tblGrid>
            <w:gridCol w:w="2008"/>
            <w:gridCol w:w="2495"/>
            <w:gridCol w:w="2352"/>
            <w:gridCol w:w="2324"/>
          </w:tblGrid>
        </w:tblGridChange>
      </w:tblGrid>
      <w:tr>
        <w:trPr>
          <w:cantSplit w:val="0"/>
          <w:trHeight w:val="10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TIPO DE CONVENIO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ESPECIFICO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EXPEDIENTE Nº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(A completar cuando se forma expediente)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ORGANISMO CON EL QUE SE CONVENIA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Organización de la Sociedad Civil (Colegio Profesional)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NOMBRE O RAZÓN SOCIAL DEL CONVENIANTE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COLEGIO DE GRADUADOS EN COOPERATIVISMO Y MUTUALISMO DE LA REPUBLICA ARGENTINA </w:t>
            </w:r>
          </w:p>
        </w:tc>
      </w:tr>
      <w:tr>
        <w:trPr>
          <w:cantSplit w:val="0"/>
          <w:trHeight w:val="21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LINEAS ESTRATÉGICAS DEL PLAN DE DESARROLLO INSTITUCIONAL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GRANDES AREAS EN LA QUE SE INSCRIBE LA ACIVIDAD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Educación a distancia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720" w:firstLine="0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Ciencias Sociales (Cooperativismo y Mutualismo)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UNIDAD QUE PROPONE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Secretaría de Extensión y Vinculación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UNIDADES CON INCUMBENCIAS EN EL/LAS 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Coordinación del Sistema Institucional de Educación A Distancia (SIED) - SGA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SUBTIPO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Institucional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Diploma a Distancia en herramientas de gestión para agentes cooperativistas y mutualistas.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Duración de cohortes cuatrimestrales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Contribuir a la formación de dirigentes, profesionales, mutualistas, cooperativas y promotores en general de Cultura Cooperativa, desde una oferta formativa y de capacitación.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FECHA DE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Desde su celebración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VIGENCIA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12 (doce) meses contados a partir del momento de la firma.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RECURSOS FINANCIEROS  INVOLUCRADOS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Financiado por el CGCYM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MONTO PRESUPUESTADO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$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391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.000 (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trescientos noventa y un mil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) por cohorte dictada</w:t>
            </w:r>
          </w:p>
        </w:tc>
      </w:tr>
      <w:tr>
        <w:trPr>
          <w:cantSplit w:val="1"/>
          <w:trHeight w:val="99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CANON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Sin canon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IMPACTO ESPERADO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En actividades de extensión y vinculación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Formación en conocimientos específicos de organizaciones, cooperativas y mutuales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Mejorar la calidad de la Gestión de Cooperativas y Mutuales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Dicho proyecto deberá contar con la aprobación del Consejo Superior de la Universidad, mediante la Resolución (Art. 48 Inciso “A” Estatuto)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EJECUCIÓN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Sin ejecución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DESCRIBIR LOS BENEFICIOS PARA LA SOCIEDAD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La actuación por parte de la UNSAM en proceso de formación de profesiones y en el fortalecimiento de cooperativas y mutuales redunda en altos beneficios para comunidades que organizan. El sector de referencia, pese a su larga historia en el país, mayormente no acceden a la formación superior. Su acceso redunda en la mejora de la gestión, el profesionalismo y consecuentemente en sus objetos sociales.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DESCRIBIR LOS BENEFICIOS PARA LA UNIVERSIDAD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Potencia los vínculos virtuosos entre la Universidad y las Asociaciones de la Sociedad Civil. Los asociados en este proyecto tienen una larga experiencia de más de 50 años en el campo cooperativo y de las mutuales. La sinergia entre ambas coadyuva a la inclusión en la Universidad a sectores de la población que, por distancia y/o trabajo, no se vinculan habitualmente.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IDENTIFICAR POSIBLES ASPECTOS CONTROVERSIALES PARA LA SOCIEDAD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No se identifican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IDENTIFICAR POSIBLES ASPECTOS CONTROVERSIALES PARA LA COMUNIDAD DE LA UNSAM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No se identifican</w:t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MECANISMOS PREVISTOS DE GESTIÓN: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ind w:left="720" w:firstLine="0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La Secretaría de Extensión y Vinculación es la Unidad designada por la UNSAM para el desarrollo y ejecución del presente Convenio.  La Coordinación del SIED-SGA brindará la asistencia técnica y administrativa para el acceso y uso de la plataforma digital.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UNIDAD ADMINISTRATIVA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Secretaría de Extensión y Vinculación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CIERRE DEL CONVENIO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RENDICIÓN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INFORME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FIRMA Y ACLARACION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40" w:w="11907" w:orient="portrait"/>
      <w:pgMar w:bottom="1134" w:top="2268" w:left="226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-662304</wp:posOffset>
          </wp:positionH>
          <wp:positionV relativeFrom="paragraph">
            <wp:posOffset>-135889</wp:posOffset>
          </wp:positionV>
          <wp:extent cx="1870075" cy="8343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9810" l="18891" r="18693" t="10466"/>
                  <a:stretch>
                    <a:fillRect/>
                  </a:stretch>
                </pic:blipFill>
                <pic:spPr>
                  <a:xfrm>
                    <a:off x="0" y="0"/>
                    <a:ext cx="1870075" cy="8343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7"/>
    </w:pPr>
    <w:rPr>
      <w:rFonts w:ascii="Comic Sans MS" w:hAnsi="Comic Sans MS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AR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2ToDoDtuMzcfDkOtfrOQiL/X8w==">CgMxLjAyCGguZ2pkZ3hzOAByITFyRTZXQ0c2ZUdJMjlLbEpDTEVhLTNXb0l3WjZQLXN4Ng==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2023-03-02T13:35:00Z</dcterms:created>
  <dc:creator>cprado</dc:creator>
</cp:coreProperties>
</file>